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0" w:line="570" w:lineRule="exact"/>
        <w:jc w:val="both"/>
        <w:outlineLvl w:val="9"/>
        <w:rPr>
          <w:rFonts w:ascii="黑体" w:hAnsi="黑体" w:eastAsia="PMingLiU"/>
          <w:color w:val="auto"/>
          <w:sz w:val="32"/>
        </w:rPr>
      </w:pPr>
      <w:bookmarkStart w:id="0" w:name="bookmark28"/>
      <w:bookmarkStart w:id="1" w:name="bookmark26"/>
      <w:bookmarkStart w:id="2" w:name="bookmark27"/>
      <w:r>
        <w:rPr>
          <w:rFonts w:hint="eastAsia" w:ascii="黑体" w:hAnsi="黑体" w:eastAsia="黑体"/>
          <w:color w:val="auto"/>
          <w:sz w:val="32"/>
        </w:rPr>
        <w:t>附件</w:t>
      </w:r>
    </w:p>
    <w:p>
      <w:pPr>
        <w:pStyle w:val="10"/>
        <w:keepNext/>
        <w:keepLines/>
        <w:spacing w:after="0" w:line="640" w:lineRule="exact"/>
        <w:outlineLvl w:val="0"/>
        <w:rPr>
          <w:rFonts w:ascii="Times New Roman" w:hAnsi="黑体" w:eastAsia="方正小标宋简体"/>
          <w:color w:val="auto"/>
          <w:sz w:val="44"/>
        </w:rPr>
      </w:pP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一</w:t>
      </w:r>
      <w:r>
        <w:rPr>
          <w:rFonts w:ascii="Times New Roman" w:eastAsia="方正小标宋简体"/>
          <w:color w:val="39413F"/>
          <w:sz w:val="44"/>
        </w:rPr>
        <w:t>项</w:t>
      </w:r>
    </w:p>
    <w:p>
      <w:pPr>
        <w:pStyle w:val="10"/>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10"/>
        <w:keepNext/>
        <w:keepLines/>
        <w:spacing w:after="0" w:line="640" w:lineRule="exact"/>
        <w:outlineLvl w:val="0"/>
        <w:rPr>
          <w:rFonts w:ascii="Times New Roman" w:eastAsia="方正小标宋简体"/>
          <w:sz w:val="44"/>
        </w:rPr>
      </w:pPr>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9" w:hRule="atLeas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hint="eastAsia" w:ascii="仿宋_GB2312" w:hAnsi="宋体" w:eastAsia="宋体" w:cs="宋体"/>
                <w:szCs w:val="32"/>
                <w:lang w:eastAsia="zh-CN"/>
              </w:rPr>
            </w:pPr>
            <w:r>
              <w:rPr>
                <w:rFonts w:hint="eastAsia" w:ascii="宋体" w:hAnsi="宋体" w:eastAsia="宋体" w:cs="宋体"/>
                <w:sz w:val="28"/>
                <w:szCs w:val="28"/>
                <w:lang w:val="en-US" w:eastAsia="zh-CN"/>
              </w:rPr>
              <w:t>四川省第三轮生态环境保护督察蜀道集团督察报告整改方案第一项整改任务：</w:t>
            </w:r>
            <w:r>
              <w:rPr>
                <w:rFonts w:hint="eastAsia" w:ascii="宋体" w:hAnsi="宋体" w:eastAsia="宋体" w:cs="宋体"/>
                <w:sz w:val="28"/>
                <w:szCs w:val="28"/>
              </w:rPr>
              <w:t>蜀道集团学习贯彻习近平生态文明思想不够深入，有的领导干部对“党政同责、一岗双责”认识还不到位，生态环境保护责任意识淡薄，生态环境保护人员配备不足。个别谈话发现，集团公司工程建设、运维管理等部门及下属企业重建设、轻环保，对应当承担的生态环境保护责任认识不清、重视不够，主动性不足</w:t>
            </w:r>
            <w:r>
              <w:rPr>
                <w:rFonts w:hint="eastAsia" w:ascii="宋体" w:hAnsi="宋体" w:eastAsia="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1"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仿宋_GB2312" w:hAnsi="宋体" w:eastAsia="仿宋_GB2312" w:cs="宋体"/>
                <w:szCs w:val="32"/>
                <w:lang w:eastAsia="zh-CN"/>
              </w:rPr>
            </w:pPr>
            <w:r>
              <w:rPr>
                <w:rFonts w:hint="eastAsia" w:ascii="宋体" w:hAnsi="宋体" w:eastAsia="宋体" w:cs="宋体"/>
                <w:sz w:val="28"/>
                <w:szCs w:val="28"/>
                <w:lang w:eastAsia="zh-CN"/>
              </w:rPr>
              <w:t>四川高速公路建设开发集团有限公司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5" w:hRule="exact"/>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both"/>
              <w:textAlignment w:val="auto"/>
              <w:rPr>
                <w:rFonts w:ascii="仿宋_GB2312" w:eastAsia="仿宋_GB2312"/>
                <w:szCs w:val="32"/>
                <w:lang w:eastAsia="zh-CN"/>
              </w:rPr>
            </w:pPr>
            <w:r>
              <w:rPr>
                <w:rFonts w:hint="eastAsia" w:ascii="宋体" w:hAnsi="宋体" w:eastAsia="宋体" w:cs="宋体"/>
                <w:sz w:val="28"/>
                <w:szCs w:val="28"/>
              </w:rPr>
              <w:t>深入学习领会贯彻习近平生态文明思想，牢固树立新发展理念，切实提高集团公司各级领导干部政治站位，充分认识生态环境保护的极端重要性，正确处理发展和生态环境保护的关系，严格落实“党政同责、一岗双责”，压紧压实生态环境保护企业主体责任，配齐配强人员力量，确保把党中央、国务院和省委、省政府生态环境保护决策部署贯彻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.加强习近平生态文明思想学习贯彻，将习近平生态文明思想和关于生态文明建设重要批示指示精神，作为党委会“第一议题”、党委中心组学习的必学内容，并抓好贯彻落实。（立行立改，长期坚持）</w:t>
            </w:r>
          </w:p>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.将生态环境保护工作作为党委会、董事会、总经理办公会的重要内容，党委会、总经理办公会每年研究生态环境保护工作不少于4次。（立行立改，长期坚持）</w:t>
            </w:r>
          </w:p>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按照“党政同责，一岗双责”“管发展必须管环保、管生产必须管环保、管行业必须管环保”的要求，制定出台《生态环境保护责任制》，压紧压实生态环境保护责任，建立横向到边、纵向到底的生态环境保护工作责任体系。</w:t>
            </w:r>
            <w:r>
              <w:rPr>
                <w:rFonts w:hint="eastAsia" w:ascii="宋体" w:hAnsi="宋体" w:eastAsia="宋体" w:cs="宋体"/>
                <w:sz w:val="28"/>
                <w:szCs w:val="28"/>
              </w:rPr>
              <w:t>（立行立改，长期坚持）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52" w:firstLineChars="200"/>
              <w:jc w:val="left"/>
              <w:textAlignment w:val="auto"/>
              <w:rPr>
                <w:rFonts w:eastAsia="仿宋_GB2312"/>
                <w:color w:val="auto"/>
                <w:szCs w:val="32"/>
                <w:lang w:eastAsia="zh-CN"/>
              </w:rPr>
            </w:pPr>
            <w:r>
              <w:rPr>
                <w:rFonts w:hint="default" w:ascii="宋体" w:hAnsi="宋体" w:eastAsia="宋体" w:cs="宋体"/>
                <w:sz w:val="28"/>
                <w:szCs w:val="28"/>
                <w:lang w:val="en-US" w:eastAsia="zh-CN"/>
              </w:rPr>
              <w:t>4.加强生态环境保护人员队伍建设，督促各相关直属企业组织开展至少1次定向转岗培训；在集团批复编制及招聘计划内，各直属企业统筹补充生态环境保护人员，支持优先配备生态环境保护相关部门负责人；督促所属企业生态环境保护相关部门至少配备1名生态环境保护人员。</w:t>
            </w:r>
            <w:r>
              <w:rPr>
                <w:rFonts w:hint="eastAsia" w:ascii="宋体" w:hAnsi="宋体" w:eastAsia="宋体" w:cs="宋体"/>
                <w:sz w:val="28"/>
                <w:szCs w:val="28"/>
              </w:rPr>
              <w:t>（立行立改，长期坚持）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3"/>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3"/>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把深入学习贯彻习近平生态文明思想作为长期的重要政治任务，坚持用习近平生态文明思想武装头脑、指导实践、推动工作，深刻认识做好生态环境保护的政治担当，将新发展理念贯穿建设、营运全过程，推动生态文明理念入脑入心，推动“绿水青山就是金山银山理念”在干部职工中成为普遍共识，已组织开展党委中心组专题学习7次。</w:t>
            </w:r>
          </w:p>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2.本年度已召开4次生态环境保护会议，及时传达生态环境保护工作重要指示批示和会议精神，推动解决重大生态环境保护问题。根据公司党委会、办公会关于生态环境保护部署要求，制定具体举措，及</w:t>
            </w:r>
            <w:bookmarkStart w:id="3" w:name="_GoBack"/>
            <w:bookmarkEnd w:id="3"/>
            <w:r>
              <w:rPr>
                <w:rFonts w:hint="eastAsia" w:ascii="宋体" w:hAnsi="宋体" w:eastAsia="宋体" w:cs="宋体"/>
                <w:sz w:val="28"/>
                <w:szCs w:val="28"/>
                <w:lang w:val="en-US" w:eastAsia="zh-CN"/>
              </w:rPr>
              <w:t>时分解督查任务、纳入台账、跟踪反馈。</w:t>
            </w:r>
          </w:p>
          <w:p>
            <w:pPr>
              <w:keepNext w:val="0"/>
              <w:keepLines w:val="0"/>
              <w:pageBreakBefore w:val="0"/>
              <w:widowControl w:val="0"/>
              <w:kinsoku/>
              <w:wordWrap/>
              <w:overflowPunct/>
              <w:topLinePunct w:val="0"/>
              <w:autoSpaceDE/>
              <w:autoSpaceDN/>
              <w:bidi w:val="0"/>
              <w:adjustRightInd/>
              <w:snapToGrid/>
              <w:spacing w:line="400" w:lineRule="exact"/>
              <w:ind w:left="0" w:firstLine="552"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3.按照生态环境保护相关法律法规，结合川高公司实际，已拟定《生态环境保护责任制》初稿。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52" w:firstLineChars="200"/>
              <w:jc w:val="left"/>
              <w:textAlignment w:val="auto"/>
              <w:rPr>
                <w:lang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已于8月18日，邀请省生态环境厅和省环境评估中心的两位专家（赵淼，涂为民），组织川高公司各部（室）、系统各单位共计90余人，在川高公司开展生态环境保护专题培训。已根据集团公司批复2023年招聘计划，制定毕业生及社招招聘方案，明确对外招聘安全环保类岗位，经公司党委会审议通过，已于6月29日通过蜀道集团招聘官网对外公开招聘安全环保人员，录用环境类人才6人。对川高所属公司生态环保工作人员进行统计，建立人员库。目前川高各营运和建设单位均配备了至少1名生态环境保护人员。</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5E55F53"/>
    <w:rsid w:val="08163A15"/>
    <w:rsid w:val="09E244F6"/>
    <w:rsid w:val="0B550CF8"/>
    <w:rsid w:val="0B786794"/>
    <w:rsid w:val="0C0F70F9"/>
    <w:rsid w:val="0DC23D27"/>
    <w:rsid w:val="138403CC"/>
    <w:rsid w:val="144B5800"/>
    <w:rsid w:val="149F2ED8"/>
    <w:rsid w:val="17D313A3"/>
    <w:rsid w:val="1CAA0778"/>
    <w:rsid w:val="1CCF3747"/>
    <w:rsid w:val="205C04A1"/>
    <w:rsid w:val="20971013"/>
    <w:rsid w:val="23FA0237"/>
    <w:rsid w:val="242B219E"/>
    <w:rsid w:val="24A52D69"/>
    <w:rsid w:val="26396DF4"/>
    <w:rsid w:val="26FB22FC"/>
    <w:rsid w:val="2E1273A7"/>
    <w:rsid w:val="36D14E27"/>
    <w:rsid w:val="379F6CD3"/>
    <w:rsid w:val="39FD4818"/>
    <w:rsid w:val="3C5A3E76"/>
    <w:rsid w:val="3CCF3BB7"/>
    <w:rsid w:val="3CFF0B8B"/>
    <w:rsid w:val="3E691DE9"/>
    <w:rsid w:val="42512E91"/>
    <w:rsid w:val="42EA5EB8"/>
    <w:rsid w:val="43125214"/>
    <w:rsid w:val="4A054D1E"/>
    <w:rsid w:val="4B3854E4"/>
    <w:rsid w:val="4E973D0A"/>
    <w:rsid w:val="50E55874"/>
    <w:rsid w:val="513E2C91"/>
    <w:rsid w:val="51525238"/>
    <w:rsid w:val="528E05AC"/>
    <w:rsid w:val="53A022C0"/>
    <w:rsid w:val="57F80211"/>
    <w:rsid w:val="5A7476F4"/>
    <w:rsid w:val="661F0E5C"/>
    <w:rsid w:val="67B657F0"/>
    <w:rsid w:val="6BA45BE5"/>
    <w:rsid w:val="6EFB59F6"/>
    <w:rsid w:val="6F2D6397"/>
    <w:rsid w:val="6F7E382D"/>
    <w:rsid w:val="727D6DC5"/>
    <w:rsid w:val="77F51A1C"/>
    <w:rsid w:val="7E0E1492"/>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Body Text Indent"/>
    <w:basedOn w:val="1"/>
    <w:unhideWhenUsed/>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2"/>
    <w:qFormat/>
    <w:uiPriority w:val="0"/>
    <w:pPr>
      <w:ind w:firstLine="420" w:firstLineChars="200"/>
    </w:pPr>
  </w:style>
  <w:style w:type="paragraph" w:customStyle="1" w:styleId="10">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1">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2">
    <w:name w:val="Body text|3"/>
    <w:basedOn w:val="1"/>
    <w:qFormat/>
    <w:uiPriority w:val="0"/>
    <w:pPr>
      <w:spacing w:after="540"/>
      <w:ind w:firstLine="800"/>
    </w:pPr>
    <w:rPr>
      <w:color w:val="1F2121"/>
      <w:szCs w:val="32"/>
    </w:rPr>
  </w:style>
  <w:style w:type="paragraph" w:customStyle="1" w:styleId="13">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4">
    <w:name w:val="页眉 字符"/>
    <w:basedOn w:val="9"/>
    <w:link w:val="6"/>
    <w:qFormat/>
    <w:uiPriority w:val="0"/>
    <w:rPr>
      <w:rFonts w:eastAsia="Times New Roman"/>
      <w:color w:val="000000"/>
      <w:sz w:val="18"/>
      <w:szCs w:val="18"/>
      <w:lang w:eastAsia="en-US" w:bidi="en-US"/>
    </w:rPr>
  </w:style>
  <w:style w:type="character" w:customStyle="1" w:styleId="15">
    <w:name w:val="页脚 字符"/>
    <w:basedOn w:val="9"/>
    <w:link w:val="5"/>
    <w:qFormat/>
    <w:uiPriority w:val="0"/>
    <w:rPr>
      <w:rFonts w:eastAsia="Times New Roman"/>
      <w:color w:val="000000"/>
      <w:sz w:val="18"/>
      <w:szCs w:val="18"/>
      <w:lang w:eastAsia="en-US" w:bidi="en-US"/>
    </w:rPr>
  </w:style>
  <w:style w:type="character" w:customStyle="1" w:styleId="16">
    <w:name w:val="日期 字符"/>
    <w:basedOn w:val="9"/>
    <w:link w:val="4"/>
    <w:qFormat/>
    <w:uiPriority w:val="0"/>
    <w:rPr>
      <w:rFonts w:eastAsia="Times New Roman"/>
      <w:color w:val="000000"/>
      <w:sz w:val="32"/>
      <w:szCs w:val="24"/>
      <w:lang w:eastAsia="en-US" w:bidi="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543</Words>
  <Characters>551</Characters>
  <Lines>8</Lines>
  <Paragraphs>2</Paragraphs>
  <TotalTime>0</TotalTime>
  <ScaleCrop>false</ScaleCrop>
  <LinksUpToDate>false</LinksUpToDate>
  <CharactersWithSpaces>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母一丁</cp:lastModifiedBy>
  <cp:lastPrinted>2023-08-29T07:00:00Z</cp:lastPrinted>
  <dcterms:modified xsi:type="dcterms:W3CDTF">2023-12-16T06:20:06Z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F0DA42E950784D7B8CF70394502CC058_11</vt:lpwstr>
  </property>
</Properties>
</file>