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keepLines/>
        <w:spacing w:after="0" w:line="570" w:lineRule="exact"/>
        <w:jc w:val="both"/>
        <w:outlineLvl w:val="9"/>
        <w:rPr>
          <w:rFonts w:ascii="黑体" w:hAnsi="黑体" w:eastAsia="PMingLiU"/>
          <w:color w:val="auto"/>
          <w:sz w:val="32"/>
          <w:lang w:eastAsia="zh-CN"/>
        </w:rPr>
      </w:pPr>
      <w:bookmarkStart w:id="0" w:name="bookmark27"/>
      <w:bookmarkStart w:id="1" w:name="bookmark28"/>
      <w:bookmarkStart w:id="2" w:name="bookmark26"/>
      <w:r>
        <w:rPr>
          <w:rFonts w:hint="eastAsia" w:ascii="黑体" w:hAnsi="黑体" w:eastAsia="黑体"/>
          <w:color w:val="auto"/>
          <w:sz w:val="32"/>
          <w:lang w:eastAsia="zh-CN"/>
        </w:rPr>
        <w:t>附件</w:t>
      </w:r>
    </w:p>
    <w:p>
      <w:pPr>
        <w:pStyle w:val="7"/>
        <w:keepNext/>
        <w:keepLines/>
        <w:spacing w:after="0" w:line="640" w:lineRule="exact"/>
        <w:outlineLvl w:val="0"/>
        <w:rPr>
          <w:rFonts w:ascii="Times New Roman" w:hAnsi="黑体" w:eastAsia="方正小标宋简体"/>
          <w:color w:val="auto"/>
          <w:sz w:val="44"/>
          <w:lang w:eastAsia="zh-CN"/>
        </w:rPr>
      </w:pPr>
    </w:p>
    <w:p>
      <w:pPr>
        <w:pStyle w:val="7"/>
        <w:keepNext/>
        <w:keepLines/>
        <w:spacing w:after="0" w:line="640" w:lineRule="exact"/>
        <w:outlineLvl w:val="0"/>
        <w:rPr>
          <w:rFonts w:ascii="Times New Roman" w:eastAsia="方正小标宋简体"/>
          <w:color w:val="39413F"/>
          <w:sz w:val="44"/>
          <w:lang w:eastAsia="zh-CN"/>
        </w:rPr>
      </w:pPr>
      <w:r>
        <w:rPr>
          <w:rFonts w:ascii="Times New Roman" w:eastAsia="方正小标宋简体"/>
          <w:color w:val="39413F"/>
          <w:sz w:val="44"/>
          <w:lang w:eastAsia="zh-CN"/>
        </w:rPr>
        <w:t>第</w:t>
      </w:r>
      <w:r>
        <w:rPr>
          <w:rFonts w:hint="eastAsia" w:ascii="Times New Roman" w:hAnsi="Times New Roman" w:eastAsia="方正小标宋简体" w:cs="Times New Roman"/>
          <w:color w:val="39413F"/>
          <w:sz w:val="44"/>
          <w:szCs w:val="42"/>
          <w:lang w:val="en-US" w:eastAsia="zh-CN"/>
        </w:rPr>
        <w:t>三</w:t>
      </w:r>
      <w:r>
        <w:rPr>
          <w:rFonts w:ascii="Times New Roman" w:eastAsia="方正小标宋简体"/>
          <w:color w:val="39413F"/>
          <w:sz w:val="44"/>
          <w:lang w:eastAsia="zh-CN"/>
        </w:rPr>
        <w:t>轮省级生态环境保护督察第</w:t>
      </w:r>
      <w:r>
        <w:rPr>
          <w:rFonts w:hint="eastAsia" w:ascii="Times New Roman" w:eastAsia="方正小标宋简体"/>
          <w:color w:val="39413F"/>
          <w:sz w:val="44"/>
          <w:lang w:val="en-US" w:eastAsia="zh-CN"/>
        </w:rPr>
        <w:t>四十一</w:t>
      </w:r>
      <w:r>
        <w:rPr>
          <w:rFonts w:ascii="Times New Roman" w:eastAsia="方正小标宋简体"/>
          <w:color w:val="39413F"/>
          <w:sz w:val="44"/>
          <w:lang w:eastAsia="zh-CN"/>
        </w:rPr>
        <w:t>项</w:t>
      </w:r>
    </w:p>
    <w:p>
      <w:pPr>
        <w:pStyle w:val="7"/>
        <w:keepNext/>
        <w:keepLines/>
        <w:spacing w:after="0" w:line="640" w:lineRule="exact"/>
        <w:outlineLvl w:val="0"/>
        <w:rPr>
          <w:rFonts w:ascii="Times New Roman" w:eastAsia="方正小标宋简体"/>
          <w:color w:val="39413F"/>
          <w:sz w:val="44"/>
        </w:rPr>
      </w:pPr>
      <w:r>
        <w:rPr>
          <w:rFonts w:ascii="Times New Roman" w:eastAsia="方正小标宋简体"/>
          <w:color w:val="39413F"/>
          <w:sz w:val="44"/>
        </w:rPr>
        <w:t>整改任务完成情况表</w:t>
      </w:r>
      <w:bookmarkEnd w:id="0"/>
      <w:bookmarkEnd w:id="1"/>
      <w:bookmarkEnd w:id="2"/>
    </w:p>
    <w:p>
      <w:pPr>
        <w:pStyle w:val="7"/>
        <w:keepNext/>
        <w:keepLines/>
        <w:spacing w:after="0" w:line="640" w:lineRule="exact"/>
        <w:outlineLvl w:val="0"/>
        <w:rPr>
          <w:rFonts w:ascii="Times New Roman" w:eastAsia="方正小标宋简体"/>
          <w:sz w:val="44"/>
        </w:rPr>
      </w:pPr>
    </w:p>
    <w:tbl>
      <w:tblPr>
        <w:tblStyle w:val="5"/>
        <w:tblW w:w="0" w:type="auto"/>
        <w:jc w:val="center"/>
        <w:tblLayout w:type="fixed"/>
        <w:tblCellMar>
          <w:top w:w="0" w:type="dxa"/>
          <w:left w:w="10" w:type="dxa"/>
          <w:bottom w:w="0" w:type="dxa"/>
          <w:right w:w="10" w:type="dxa"/>
        </w:tblCellMar>
      </w:tblPr>
      <w:tblGrid>
        <w:gridCol w:w="1980"/>
        <w:gridCol w:w="6482"/>
      </w:tblGrid>
      <w:tr>
        <w:tblPrEx>
          <w:tblCellMar>
            <w:top w:w="0" w:type="dxa"/>
            <w:left w:w="10" w:type="dxa"/>
            <w:bottom w:w="0" w:type="dxa"/>
            <w:right w:w="10" w:type="dxa"/>
          </w:tblCellMar>
        </w:tblPrEx>
        <w:trPr>
          <w:jc w:val="center"/>
        </w:trPr>
        <w:tc>
          <w:tcPr>
            <w:tcW w:w="1980" w:type="dxa"/>
            <w:tcBorders>
              <w:top w:val="single" w:color="auto" w:sz="4" w:space="0"/>
              <w:left w:val="single" w:color="auto" w:sz="4" w:space="0"/>
            </w:tcBorders>
            <w:shd w:val="clear" w:color="auto" w:fill="FFFFFF"/>
            <w:vAlign w:val="center"/>
          </w:tcPr>
          <w:p>
            <w:pPr>
              <w:pStyle w:val="10"/>
              <w:spacing w:line="560" w:lineRule="exact"/>
              <w:ind w:firstLine="0"/>
              <w:jc w:val="center"/>
              <w:outlineLvl w:val="1"/>
              <w:rPr>
                <w:rFonts w:ascii="Times New Roman" w:hAnsi="黑体" w:eastAsia="黑体"/>
              </w:rPr>
            </w:pPr>
            <w:r>
              <w:rPr>
                <w:rFonts w:ascii="Times New Roman" w:hAnsi="黑体" w:eastAsia="黑体"/>
                <w:color w:val="39413F"/>
              </w:rPr>
              <w:t>整改任务</w:t>
            </w:r>
          </w:p>
        </w:tc>
        <w:tc>
          <w:tcPr>
            <w:tcW w:w="6482" w:type="dxa"/>
            <w:tcBorders>
              <w:top w:val="single" w:color="auto" w:sz="4" w:space="0"/>
              <w:left w:val="single" w:color="auto" w:sz="4" w:space="0"/>
              <w:right w:val="single" w:color="auto" w:sz="4" w:space="0"/>
            </w:tcBorders>
            <w:shd w:val="clear" w:color="auto" w:fill="FFFFFF"/>
            <w:vAlign w:val="center"/>
          </w:tcPr>
          <w:p>
            <w:pPr>
              <w:spacing w:line="550" w:lineRule="exact"/>
              <w:ind w:firstLine="632" w:firstLineChars="200"/>
              <w:jc w:val="both"/>
              <w:rPr>
                <w:rFonts w:ascii="仿宋_GB2312" w:hAnsi="宋体" w:eastAsia="仿宋_GB2312" w:cs="宋体"/>
                <w:szCs w:val="32"/>
                <w:lang w:eastAsia="zh-CN"/>
              </w:rPr>
            </w:pPr>
            <w:r>
              <w:rPr>
                <w:rFonts w:hint="eastAsia" w:ascii="仿宋_GB2312" w:hAnsi="宋体" w:eastAsia="仿宋_GB2312" w:cs="宋体"/>
                <w:szCs w:val="32"/>
                <w:lang w:val="en-US" w:eastAsia="zh-CN"/>
              </w:rPr>
              <w:t>四川省第三轮生态环境保护督察蜀道集团督察报告整改方案第</w:t>
            </w:r>
            <w:r>
              <w:rPr>
                <w:rFonts w:hint="eastAsia" w:ascii="仿宋_GB2312" w:hAnsi="宋体" w:eastAsia="仿宋_GB2312" w:cs="宋体"/>
                <w:szCs w:val="32"/>
                <w:lang w:eastAsia="zh-CN"/>
              </w:rPr>
              <w:t>四十一</w:t>
            </w:r>
            <w:r>
              <w:rPr>
                <w:rFonts w:hint="eastAsia" w:ascii="仿宋_GB2312" w:hAnsi="宋体" w:eastAsia="仿宋_GB2312" w:cs="宋体"/>
                <w:szCs w:val="32"/>
                <w:lang w:val="en-US" w:eastAsia="zh-CN"/>
              </w:rPr>
              <w:t>项整改任务：</w:t>
            </w:r>
            <w:r>
              <w:rPr>
                <w:rFonts w:hint="eastAsia" w:ascii="仿宋_GB2312" w:hAnsi="宋体" w:eastAsia="仿宋_GB2312" w:cs="宋体"/>
                <w:szCs w:val="32"/>
                <w:lang w:eastAsia="zh-CN"/>
              </w:rPr>
              <w:t>蜀道集团74 条运营高速公路年产生餐厨垃圾约5000 吨，但收集处理体系普遍不健全，成乐高速夹江天福等服务区甚至违规将餐厨垃圾交由私人处置。</w:t>
            </w:r>
          </w:p>
        </w:tc>
      </w:tr>
      <w:tr>
        <w:tblPrEx>
          <w:tblCellMar>
            <w:top w:w="0" w:type="dxa"/>
            <w:left w:w="10" w:type="dxa"/>
            <w:bottom w:w="0" w:type="dxa"/>
            <w:right w:w="10" w:type="dxa"/>
          </w:tblCellMar>
        </w:tblPrEx>
        <w:trPr>
          <w:trHeight w:val="783" w:hRule="exact"/>
          <w:jc w:val="center"/>
        </w:trPr>
        <w:tc>
          <w:tcPr>
            <w:tcW w:w="1980" w:type="dxa"/>
            <w:tcBorders>
              <w:top w:val="single" w:color="auto" w:sz="4" w:space="0"/>
              <w:left w:val="single" w:color="auto" w:sz="4" w:space="0"/>
            </w:tcBorders>
            <w:shd w:val="clear" w:color="auto" w:fill="FFFFFF"/>
            <w:vAlign w:val="center"/>
          </w:tcPr>
          <w:p>
            <w:pPr>
              <w:pStyle w:val="10"/>
              <w:spacing w:line="560" w:lineRule="exact"/>
              <w:ind w:firstLine="0"/>
              <w:jc w:val="center"/>
              <w:outlineLvl w:val="1"/>
              <w:rPr>
                <w:rFonts w:ascii="Times New Roman" w:hAnsi="黑体" w:eastAsia="黑体"/>
              </w:rPr>
            </w:pPr>
            <w:r>
              <w:rPr>
                <w:rFonts w:ascii="Times New Roman" w:hAnsi="黑体" w:eastAsia="黑体"/>
                <w:color w:val="39413F"/>
              </w:rPr>
              <w:t>整改责任单位</w:t>
            </w:r>
          </w:p>
        </w:tc>
        <w:tc>
          <w:tcPr>
            <w:tcW w:w="6482" w:type="dxa"/>
            <w:tcBorders>
              <w:top w:val="single" w:color="auto" w:sz="4" w:space="0"/>
              <w:left w:val="single" w:color="auto" w:sz="4" w:space="0"/>
              <w:right w:val="single" w:color="auto" w:sz="4" w:space="0"/>
            </w:tcBorders>
            <w:shd w:val="clear" w:color="auto" w:fill="FFFFFF"/>
            <w:vAlign w:val="center"/>
          </w:tcPr>
          <w:p>
            <w:pPr>
              <w:spacing w:line="550" w:lineRule="exact"/>
              <w:jc w:val="center"/>
              <w:rPr>
                <w:rFonts w:ascii="仿宋_GB2312" w:hAnsi="宋体" w:eastAsia="仿宋_GB2312" w:cs="宋体"/>
                <w:szCs w:val="32"/>
                <w:lang w:eastAsia="zh-CN"/>
              </w:rPr>
            </w:pPr>
            <w:r>
              <w:rPr>
                <w:rFonts w:hint="eastAsia" w:ascii="仿宋_GB2312" w:hAnsi="宋体" w:eastAsia="仿宋_GB2312" w:cs="宋体"/>
                <w:szCs w:val="32"/>
                <w:lang w:eastAsia="zh-CN"/>
              </w:rPr>
              <w:t>四川高速公路</w:t>
            </w:r>
            <w:r>
              <w:rPr>
                <w:rFonts w:hint="eastAsia" w:ascii="仿宋_GB2312" w:hAnsi="宋体" w:eastAsia="仿宋_GB2312" w:cs="宋体"/>
                <w:szCs w:val="32"/>
                <w:lang w:val="en-US" w:eastAsia="zh-CN"/>
              </w:rPr>
              <w:t>建设开发</w:t>
            </w:r>
            <w:r>
              <w:rPr>
                <w:rFonts w:hint="eastAsia" w:ascii="仿宋_GB2312" w:hAnsi="宋体" w:eastAsia="仿宋_GB2312" w:cs="宋体"/>
                <w:szCs w:val="32"/>
                <w:lang w:eastAsia="zh-CN"/>
              </w:rPr>
              <w:t>集团有限公司</w:t>
            </w:r>
          </w:p>
        </w:tc>
      </w:tr>
      <w:tr>
        <w:tblPrEx>
          <w:tblCellMar>
            <w:top w:w="0" w:type="dxa"/>
            <w:left w:w="10" w:type="dxa"/>
            <w:bottom w:w="0" w:type="dxa"/>
            <w:right w:w="10" w:type="dxa"/>
          </w:tblCellMar>
        </w:tblPrEx>
        <w:trPr>
          <w:jc w:val="center"/>
        </w:trPr>
        <w:tc>
          <w:tcPr>
            <w:tcW w:w="1980" w:type="dxa"/>
            <w:tcBorders>
              <w:top w:val="single" w:color="auto" w:sz="4" w:space="0"/>
              <w:left w:val="single" w:color="auto" w:sz="4" w:space="0"/>
            </w:tcBorders>
            <w:shd w:val="clear" w:color="auto" w:fill="FFFFFF"/>
            <w:vAlign w:val="center"/>
          </w:tcPr>
          <w:p>
            <w:pPr>
              <w:pStyle w:val="10"/>
              <w:spacing w:line="560" w:lineRule="exact"/>
              <w:ind w:firstLine="0"/>
              <w:jc w:val="center"/>
              <w:outlineLvl w:val="1"/>
              <w:rPr>
                <w:rFonts w:ascii="Times New Roman" w:hAnsi="黑体" w:eastAsia="黑体"/>
              </w:rPr>
            </w:pPr>
            <w:r>
              <w:rPr>
                <w:rFonts w:ascii="Times New Roman" w:hAnsi="黑体" w:eastAsia="黑体"/>
                <w:color w:val="39413F"/>
              </w:rPr>
              <w:t>整改目标</w:t>
            </w:r>
          </w:p>
        </w:tc>
        <w:tc>
          <w:tcPr>
            <w:tcW w:w="6482" w:type="dxa"/>
            <w:tcBorders>
              <w:top w:val="single" w:color="auto" w:sz="4" w:space="0"/>
              <w:left w:val="single" w:color="auto" w:sz="4" w:space="0"/>
              <w:right w:val="single" w:color="auto" w:sz="4" w:space="0"/>
            </w:tcBorders>
            <w:shd w:val="clear" w:color="auto" w:fill="FFFFFF"/>
            <w:vAlign w:val="center"/>
          </w:tcPr>
          <w:p>
            <w:pPr>
              <w:spacing w:line="550" w:lineRule="exact"/>
              <w:ind w:firstLine="632" w:firstLineChars="200"/>
              <w:jc w:val="both"/>
              <w:rPr>
                <w:rFonts w:ascii="仿宋_GB2312" w:eastAsia="仿宋_GB2312"/>
                <w:szCs w:val="32"/>
                <w:lang w:eastAsia="zh-CN"/>
              </w:rPr>
            </w:pPr>
            <w:r>
              <w:rPr>
                <w:rFonts w:hint="eastAsia" w:ascii="仿宋_GB2312" w:eastAsia="仿宋_GB2312"/>
                <w:szCs w:val="32"/>
                <w:lang w:eastAsia="zh-CN"/>
              </w:rPr>
              <w:t>加强运营高速公路服务区餐厨垃圾收集、清运过程管理，完善餐厨垃圾收集处理体系。</w:t>
            </w:r>
          </w:p>
        </w:tc>
      </w:tr>
      <w:tr>
        <w:tblPrEx>
          <w:tblCellMar>
            <w:top w:w="0" w:type="dxa"/>
            <w:left w:w="10" w:type="dxa"/>
            <w:bottom w:w="0" w:type="dxa"/>
            <w:right w:w="10" w:type="dxa"/>
          </w:tblCellMar>
        </w:tblPrEx>
        <w:trPr>
          <w:jc w:val="center"/>
        </w:trPr>
        <w:tc>
          <w:tcPr>
            <w:tcW w:w="1980" w:type="dxa"/>
            <w:tcBorders>
              <w:top w:val="single" w:color="auto" w:sz="4" w:space="0"/>
              <w:left w:val="single" w:color="auto" w:sz="4" w:space="0"/>
            </w:tcBorders>
            <w:shd w:val="clear" w:color="auto" w:fill="FFFFFF"/>
            <w:vAlign w:val="center"/>
          </w:tcPr>
          <w:p>
            <w:pPr>
              <w:pStyle w:val="10"/>
              <w:spacing w:line="560" w:lineRule="exact"/>
              <w:ind w:firstLine="0"/>
              <w:jc w:val="center"/>
              <w:outlineLvl w:val="1"/>
              <w:rPr>
                <w:rFonts w:ascii="Times New Roman" w:hAnsi="黑体" w:eastAsia="黑体"/>
              </w:rPr>
            </w:pPr>
            <w:r>
              <w:rPr>
                <w:rFonts w:ascii="Times New Roman" w:hAnsi="黑体" w:eastAsia="黑体"/>
                <w:color w:val="1F2121"/>
              </w:rPr>
              <w:t>整改措施</w:t>
            </w:r>
          </w:p>
        </w:tc>
        <w:tc>
          <w:tcPr>
            <w:tcW w:w="6482" w:type="dxa"/>
            <w:tcBorders>
              <w:top w:val="single" w:color="auto" w:sz="4" w:space="0"/>
              <w:left w:val="single" w:color="auto" w:sz="4" w:space="0"/>
              <w:right w:val="single" w:color="auto" w:sz="4" w:space="0"/>
            </w:tcBorders>
            <w:shd w:val="clear" w:color="auto" w:fill="FFFFFF"/>
          </w:tcPr>
          <w:p>
            <w:pPr>
              <w:spacing w:line="550" w:lineRule="exact"/>
              <w:ind w:firstLine="632" w:firstLineChars="200"/>
              <w:jc w:val="both"/>
              <w:rPr>
                <w:rFonts w:eastAsia="仿宋_GB2312"/>
                <w:color w:val="auto"/>
                <w:szCs w:val="32"/>
                <w:lang w:eastAsia="zh-CN"/>
              </w:rPr>
            </w:pPr>
            <w:r>
              <w:rPr>
                <w:rFonts w:eastAsia="仿宋_GB2312"/>
                <w:color w:val="auto"/>
                <w:szCs w:val="32"/>
                <w:lang w:eastAsia="zh-CN"/>
              </w:rPr>
              <w:t>1</w:t>
            </w:r>
            <w:r>
              <w:rPr>
                <w:rFonts w:hint="eastAsia" w:eastAsia="仿宋_GB2312"/>
                <w:color w:val="auto"/>
                <w:szCs w:val="32"/>
                <w:lang w:eastAsia="zh-CN"/>
              </w:rPr>
              <w:t>.2023年7月底前，开展运营高速公路服务区餐厨垃圾处置情况梳理，完成问题整改。</w:t>
            </w:r>
          </w:p>
          <w:p>
            <w:pPr>
              <w:spacing w:line="550" w:lineRule="exact"/>
              <w:ind w:firstLine="632" w:firstLineChars="200"/>
              <w:jc w:val="both"/>
              <w:rPr>
                <w:rFonts w:eastAsia="仿宋_GB2312"/>
                <w:color w:val="auto"/>
                <w:szCs w:val="32"/>
                <w:lang w:eastAsia="zh-CN"/>
              </w:rPr>
            </w:pPr>
            <w:r>
              <w:rPr>
                <w:rFonts w:hint="eastAsia" w:eastAsia="仿宋_GB2312"/>
                <w:color w:val="auto"/>
                <w:szCs w:val="32"/>
                <w:lang w:eastAsia="zh-CN"/>
              </w:rPr>
              <w:t>2.规范设置服务区餐厨垃圾收集点，按照餐厨垃圾产生量，固定清运时间，确保餐厨垃圾清运及时。</w:t>
            </w:r>
          </w:p>
          <w:p>
            <w:pPr>
              <w:spacing w:line="550" w:lineRule="exact"/>
              <w:ind w:firstLine="632" w:firstLineChars="200"/>
              <w:jc w:val="both"/>
              <w:rPr>
                <w:rFonts w:eastAsia="仿宋_GB2312"/>
                <w:color w:val="auto"/>
                <w:szCs w:val="32"/>
                <w:lang w:eastAsia="zh-CN"/>
              </w:rPr>
            </w:pPr>
            <w:r>
              <w:rPr>
                <w:rFonts w:hint="eastAsia" w:eastAsia="仿宋_GB2312"/>
                <w:color w:val="auto"/>
                <w:szCs w:val="32"/>
                <w:lang w:eastAsia="zh-CN"/>
              </w:rPr>
              <w:t>3.与有资质的单位签订合同，规范建立服务区餐厨垃圾收集、清运记录台账，规范餐厨垃圾管理。</w:t>
            </w:r>
          </w:p>
          <w:p>
            <w:pPr>
              <w:spacing w:line="550" w:lineRule="exact"/>
              <w:ind w:firstLine="632" w:firstLineChars="200"/>
              <w:jc w:val="both"/>
              <w:rPr>
                <w:rFonts w:eastAsia="仿宋_GB2312"/>
                <w:color w:val="FF0000"/>
                <w:szCs w:val="32"/>
                <w:lang w:eastAsia="zh-CN"/>
              </w:rPr>
            </w:pPr>
            <w:r>
              <w:rPr>
                <w:rFonts w:hint="eastAsia" w:eastAsia="仿宋_GB2312"/>
                <w:color w:val="auto"/>
                <w:szCs w:val="32"/>
                <w:lang w:eastAsia="zh-CN"/>
              </w:rPr>
              <w:t>4.将服务区餐厨垃圾收集处置情况列入抽查检查内容。</w:t>
            </w:r>
          </w:p>
        </w:tc>
      </w:tr>
      <w:tr>
        <w:tblPrEx>
          <w:tblCellMar>
            <w:top w:w="0" w:type="dxa"/>
            <w:left w:w="10" w:type="dxa"/>
            <w:bottom w:w="0" w:type="dxa"/>
            <w:right w:w="10" w:type="dxa"/>
          </w:tblCellMar>
        </w:tblPrEx>
        <w:trPr>
          <w:trHeight w:val="7864" w:hRule="atLeast"/>
          <w:jc w:val="center"/>
        </w:trPr>
        <w:tc>
          <w:tcPr>
            <w:tcW w:w="1980" w:type="dxa"/>
            <w:tcBorders>
              <w:top w:val="single" w:color="auto" w:sz="4" w:space="0"/>
              <w:left w:val="single" w:color="auto" w:sz="4" w:space="0"/>
              <w:bottom w:val="single" w:color="auto" w:sz="4" w:space="0"/>
            </w:tcBorders>
            <w:shd w:val="clear" w:color="auto" w:fill="FFFFFF"/>
            <w:vAlign w:val="center"/>
          </w:tcPr>
          <w:p>
            <w:pPr>
              <w:pStyle w:val="10"/>
              <w:spacing w:line="560" w:lineRule="exact"/>
              <w:ind w:firstLine="0"/>
              <w:jc w:val="center"/>
              <w:outlineLvl w:val="1"/>
              <w:rPr>
                <w:rFonts w:ascii="Times New Roman" w:hAnsi="黑体" w:eastAsia="PMingLiU"/>
                <w:color w:val="1F2121"/>
              </w:rPr>
            </w:pPr>
            <w:r>
              <w:rPr>
                <w:rFonts w:ascii="Times New Roman" w:hAnsi="黑体" w:eastAsia="黑体"/>
                <w:color w:val="1F2121"/>
              </w:rPr>
              <w:t>整改主要工作</w:t>
            </w:r>
          </w:p>
          <w:p>
            <w:pPr>
              <w:pStyle w:val="10"/>
              <w:spacing w:line="560" w:lineRule="exact"/>
              <w:ind w:firstLine="0"/>
              <w:jc w:val="center"/>
              <w:outlineLvl w:val="1"/>
              <w:rPr>
                <w:rFonts w:ascii="Times New Roman" w:hAnsi="黑体" w:eastAsia="黑体"/>
              </w:rPr>
            </w:pPr>
            <w:r>
              <w:rPr>
                <w:rFonts w:ascii="Times New Roman" w:hAnsi="黑体" w:eastAsia="黑体"/>
                <w:color w:val="1F2121"/>
              </w:rPr>
              <w:t>及成效</w:t>
            </w:r>
          </w:p>
        </w:tc>
        <w:tc>
          <w:tcPr>
            <w:tcW w:w="6482" w:type="dxa"/>
            <w:tcBorders>
              <w:top w:val="single" w:color="auto" w:sz="4" w:space="0"/>
              <w:left w:val="single" w:color="auto" w:sz="4" w:space="0"/>
              <w:bottom w:val="single" w:color="auto" w:sz="4" w:space="0"/>
              <w:right w:val="single" w:color="auto" w:sz="4" w:space="0"/>
            </w:tcBorders>
            <w:shd w:val="clear" w:color="auto" w:fill="FFFFFF"/>
          </w:tcPr>
          <w:p>
            <w:pPr>
              <w:spacing w:line="550" w:lineRule="exact"/>
              <w:ind w:firstLine="632" w:firstLineChars="200"/>
              <w:jc w:val="both"/>
              <w:rPr>
                <w:rFonts w:hint="eastAsia" w:eastAsia="仿宋_GB2312"/>
                <w:color w:val="auto"/>
                <w:szCs w:val="32"/>
                <w:lang w:eastAsia="zh-CN"/>
              </w:rPr>
            </w:pPr>
            <w:r>
              <w:rPr>
                <w:rFonts w:hint="eastAsia" w:eastAsia="仿宋_GB2312"/>
                <w:color w:val="auto"/>
                <w:szCs w:val="32"/>
                <w:lang w:eastAsia="zh-CN"/>
              </w:rPr>
              <w:t>1.2023年7月，已汇总梳理各运营高速公路服务区餐厨垃圾处置情况，建立相关台账，定期了解掌握更新所属公司餐厨垃圾处置情况。</w:t>
            </w:r>
          </w:p>
          <w:p>
            <w:pPr>
              <w:spacing w:line="550" w:lineRule="exact"/>
              <w:ind w:firstLine="632" w:firstLineChars="200"/>
              <w:jc w:val="both"/>
              <w:rPr>
                <w:rFonts w:hint="eastAsia" w:eastAsia="仿宋_GB2312"/>
                <w:color w:val="auto"/>
                <w:szCs w:val="32"/>
                <w:lang w:eastAsia="zh-CN"/>
              </w:rPr>
            </w:pPr>
            <w:r>
              <w:rPr>
                <w:rFonts w:hint="eastAsia" w:eastAsia="仿宋_GB2312"/>
                <w:color w:val="auto"/>
                <w:szCs w:val="32"/>
                <w:lang w:eastAsia="zh-CN"/>
              </w:rPr>
              <w:t>2.已组织各运营公司对规范设置服务区餐厨垃圾收集点、按时清运、建立清运记录台账、与有资质的单位签订合同等情况进行了问题排查，按照定人、定时、定责原则对存在问题的服务区进行督导整改，确保餐厨垃圾处置规范。</w:t>
            </w:r>
          </w:p>
          <w:p>
            <w:pPr>
              <w:spacing w:line="550" w:lineRule="exact"/>
              <w:ind w:firstLine="632" w:firstLineChars="200"/>
              <w:jc w:val="both"/>
              <w:rPr>
                <w:rFonts w:hint="eastAsia" w:ascii="仿宋_GB2312" w:eastAsia="仿宋_GB2312"/>
                <w:color w:val="FF0000"/>
                <w:sz w:val="36"/>
                <w:szCs w:val="36"/>
                <w:lang w:eastAsia="zh-CN"/>
              </w:rPr>
            </w:pPr>
            <w:r>
              <w:rPr>
                <w:rFonts w:hint="eastAsia" w:eastAsia="仿宋_GB2312"/>
                <w:color w:val="auto"/>
                <w:szCs w:val="32"/>
                <w:lang w:eastAsia="zh-CN"/>
              </w:rPr>
              <w:t>3.2023年12月，印发《四川高速公路建设开发集团有限公司关于开展川高系统第四季度营运管理质量检查的通知》（川高路函〔2023〕692号），明确将服务区餐厨垃圾收集处置情况列为检查内容，加强服务区餐厨过程管理。</w:t>
            </w:r>
          </w:p>
        </w:tc>
      </w:tr>
    </w:tbl>
    <w:p>
      <w:pPr>
        <w:rPr>
          <w:lang w:eastAsia="zh-CN"/>
        </w:rPr>
      </w:pPr>
      <w:bookmarkStart w:id="3" w:name="_GoBack"/>
      <w:bookmarkEnd w:id="3"/>
    </w:p>
    <w:sectPr>
      <w:headerReference r:id="rId5" w:type="first"/>
      <w:headerReference r:id="rId3" w:type="default"/>
      <w:footerReference r:id="rId6" w:type="default"/>
      <w:headerReference r:id="rId4" w:type="even"/>
      <w:footerReference r:id="rId7" w:type="even"/>
      <w:pgSz w:w="11907" w:h="16839"/>
      <w:pgMar w:top="2098" w:right="1474" w:bottom="1984" w:left="1587" w:header="850" w:footer="1417" w:gutter="0"/>
      <w:cols w:space="425" w:num="1"/>
      <w:docGrid w:type="linesAndChars" w:linePitch="579" w:charSpace="-8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right="320" w:rightChars="100"/>
      <w:jc w:val="right"/>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napToGrid/>
      <w:ind w:left="320" w:leftChars="100"/>
      <w:rPr>
        <w:rFonts w:ascii="宋体" w:hAnsi="宋体" w:eastAsia="宋体"/>
        <w:sz w:val="28"/>
      </w:rPr>
    </w:pPr>
    <w:r>
      <w:rPr>
        <w:rFonts w:ascii="宋体" w:hAnsi="宋体" w:eastAsia="宋体"/>
        <w:sz w:val="28"/>
      </w:rPr>
      <w:t xml:space="preserve">— </w:t>
    </w:r>
    <w:r>
      <w:rPr>
        <w:rFonts w:ascii="宋体" w:hAnsi="宋体" w:eastAsia="宋体"/>
        <w:sz w:val="28"/>
      </w:rPr>
      <w:fldChar w:fldCharType="begin"/>
    </w:r>
    <w:r>
      <w:rPr>
        <w:rFonts w:ascii="宋体" w:hAnsi="宋体" w:eastAsia="宋体"/>
        <w:sz w:val="28"/>
      </w:rPr>
      <w:instrText xml:space="preserve"> PAGE Page \* MERGEFORMAT </w:instrText>
    </w:r>
    <w:r>
      <w:rPr>
        <w:rFonts w:ascii="宋体" w:hAnsi="宋体" w:eastAsia="宋体"/>
        <w:sz w:val="28"/>
      </w:rPr>
      <w:fldChar w:fldCharType="separate"/>
    </w:r>
    <w:r>
      <w:rPr>
        <w:rFonts w:ascii="宋体" w:hAnsi="宋体" w:eastAsia="宋体"/>
        <w:sz w:val="28"/>
      </w:rPr>
      <w:t>3</w:t>
    </w:r>
    <w:r>
      <w:rPr>
        <w:rFonts w:ascii="宋体" w:hAnsi="宋体" w:eastAsia="宋体"/>
        <w:sz w:val="28"/>
      </w:rPr>
      <w:fldChar w:fldCharType="end"/>
    </w:r>
    <w:r>
      <w:rPr>
        <w:rFonts w:ascii="宋体" w:hAnsi="宋体" w:eastAsia="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wYzkwNzRjMzM5ZWMxYzBkZGY5NjMzNGViNTU4MGQifQ=="/>
  </w:docVars>
  <w:rsids>
    <w:rsidRoot w:val="00172A27"/>
    <w:rsid w:val="000A288F"/>
    <w:rsid w:val="00746724"/>
    <w:rsid w:val="00AB61E9"/>
    <w:rsid w:val="00B266D2"/>
    <w:rsid w:val="00E4080A"/>
    <w:rsid w:val="034C42F7"/>
    <w:rsid w:val="042C0EEB"/>
    <w:rsid w:val="0620509A"/>
    <w:rsid w:val="0891161B"/>
    <w:rsid w:val="0EED10F5"/>
    <w:rsid w:val="13876B1D"/>
    <w:rsid w:val="15200B35"/>
    <w:rsid w:val="15AC7766"/>
    <w:rsid w:val="1A97792D"/>
    <w:rsid w:val="1CD5291C"/>
    <w:rsid w:val="20A23215"/>
    <w:rsid w:val="26461D57"/>
    <w:rsid w:val="2AF4778E"/>
    <w:rsid w:val="2F3C3C3E"/>
    <w:rsid w:val="3032101E"/>
    <w:rsid w:val="30717C09"/>
    <w:rsid w:val="3133374C"/>
    <w:rsid w:val="31A359FC"/>
    <w:rsid w:val="32E24F82"/>
    <w:rsid w:val="34006CB9"/>
    <w:rsid w:val="34345C17"/>
    <w:rsid w:val="37EE5AD1"/>
    <w:rsid w:val="39407FA8"/>
    <w:rsid w:val="3B1662FE"/>
    <w:rsid w:val="43622277"/>
    <w:rsid w:val="44F726AD"/>
    <w:rsid w:val="4ACC7988"/>
    <w:rsid w:val="4DBA61BD"/>
    <w:rsid w:val="517C5E3E"/>
    <w:rsid w:val="517D38BF"/>
    <w:rsid w:val="528648C0"/>
    <w:rsid w:val="52EE7DCB"/>
    <w:rsid w:val="550A1892"/>
    <w:rsid w:val="59FE5B32"/>
    <w:rsid w:val="60CA063E"/>
    <w:rsid w:val="62D52D32"/>
    <w:rsid w:val="65AB2B63"/>
    <w:rsid w:val="66F60B4B"/>
    <w:rsid w:val="6A2C2178"/>
    <w:rsid w:val="6AB22299"/>
    <w:rsid w:val="6B3A3476"/>
    <w:rsid w:val="6C5D58A2"/>
    <w:rsid w:val="6E09733B"/>
    <w:rsid w:val="70927820"/>
    <w:rsid w:val="70AB0A64"/>
    <w:rsid w:val="73721B3C"/>
    <w:rsid w:val="759E5C0A"/>
    <w:rsid w:val="7AF27D45"/>
    <w:rsid w:val="7C112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32"/>
      <w:szCs w:val="24"/>
      <w:lang w:val="en-US" w:eastAsia="en-US" w:bidi="en-US"/>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footer"/>
    <w:basedOn w:val="1"/>
    <w:link w:val="12"/>
    <w:qFormat/>
    <w:uiPriority w:val="0"/>
    <w:pPr>
      <w:tabs>
        <w:tab w:val="center" w:pos="4153"/>
        <w:tab w:val="right" w:pos="8306"/>
      </w:tabs>
      <w:snapToGrid w:val="0"/>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Heading #2|1"/>
    <w:basedOn w:val="1"/>
    <w:qFormat/>
    <w:uiPriority w:val="0"/>
    <w:pPr>
      <w:spacing w:after="520" w:line="641" w:lineRule="exact"/>
      <w:jc w:val="center"/>
      <w:outlineLvl w:val="1"/>
    </w:pPr>
    <w:rPr>
      <w:rFonts w:ascii="宋体" w:hAnsi="宋体" w:eastAsia="宋体" w:cs="宋体"/>
      <w:sz w:val="46"/>
      <w:szCs w:val="46"/>
      <w:lang w:val="zh-TW" w:eastAsia="zh-TW" w:bidi="zh-TW"/>
    </w:rPr>
  </w:style>
  <w:style w:type="paragraph" w:customStyle="1" w:styleId="8">
    <w:name w:val="Body text|1"/>
    <w:basedOn w:val="1"/>
    <w:qFormat/>
    <w:uiPriority w:val="0"/>
    <w:pPr>
      <w:spacing w:line="374" w:lineRule="auto"/>
      <w:ind w:firstLine="400"/>
    </w:pPr>
    <w:rPr>
      <w:rFonts w:ascii="宋体" w:hAnsi="宋体" w:eastAsia="宋体" w:cs="宋体"/>
      <w:szCs w:val="32"/>
      <w:lang w:val="zh-TW" w:eastAsia="zh-TW" w:bidi="zh-TW"/>
    </w:rPr>
  </w:style>
  <w:style w:type="paragraph" w:customStyle="1" w:styleId="9">
    <w:name w:val="Body text|3"/>
    <w:basedOn w:val="1"/>
    <w:qFormat/>
    <w:uiPriority w:val="0"/>
    <w:pPr>
      <w:spacing w:after="540"/>
      <w:ind w:firstLine="800"/>
    </w:pPr>
    <w:rPr>
      <w:color w:val="1F2121"/>
      <w:szCs w:val="32"/>
    </w:rPr>
  </w:style>
  <w:style w:type="paragraph" w:customStyle="1" w:styleId="10">
    <w:name w:val="Other|1"/>
    <w:basedOn w:val="1"/>
    <w:qFormat/>
    <w:uiPriority w:val="0"/>
    <w:pPr>
      <w:spacing w:line="374" w:lineRule="auto"/>
      <w:ind w:firstLine="400"/>
    </w:pPr>
    <w:rPr>
      <w:rFonts w:ascii="宋体" w:hAnsi="宋体" w:eastAsia="宋体" w:cs="宋体"/>
      <w:szCs w:val="32"/>
      <w:lang w:val="zh-TW" w:eastAsia="zh-TW" w:bidi="zh-TW"/>
    </w:rPr>
  </w:style>
  <w:style w:type="character" w:customStyle="1" w:styleId="11">
    <w:name w:val="页眉 字符"/>
    <w:basedOn w:val="6"/>
    <w:link w:val="4"/>
    <w:qFormat/>
    <w:uiPriority w:val="0"/>
    <w:rPr>
      <w:rFonts w:eastAsia="Times New Roman"/>
      <w:color w:val="000000"/>
      <w:sz w:val="18"/>
      <w:szCs w:val="18"/>
      <w:lang w:eastAsia="en-US" w:bidi="en-US"/>
    </w:rPr>
  </w:style>
  <w:style w:type="character" w:customStyle="1" w:styleId="12">
    <w:name w:val="页脚 字符"/>
    <w:basedOn w:val="6"/>
    <w:link w:val="3"/>
    <w:qFormat/>
    <w:uiPriority w:val="0"/>
    <w:rPr>
      <w:rFonts w:eastAsia="Times New Roman"/>
      <w:color w:val="000000"/>
      <w:sz w:val="18"/>
      <w:szCs w:val="18"/>
      <w:lang w:eastAsia="en-US" w:bidi="en-US"/>
    </w:rPr>
  </w:style>
  <w:style w:type="character" w:customStyle="1" w:styleId="13">
    <w:name w:val="日期 字符"/>
    <w:basedOn w:val="6"/>
    <w:link w:val="2"/>
    <w:qFormat/>
    <w:uiPriority w:val="0"/>
    <w:rPr>
      <w:rFonts w:eastAsia="Times New Roman"/>
      <w:color w:val="000000"/>
      <w:sz w:val="32"/>
      <w:szCs w:val="24"/>
      <w:lang w:eastAsia="en-US" w:bidi="en-US"/>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Words>
  <Characters>729</Characters>
  <Lines>6</Lines>
  <Paragraphs>1</Paragraphs>
  <TotalTime>0</TotalTime>
  <ScaleCrop>false</ScaleCrop>
  <LinksUpToDate>false</LinksUpToDate>
  <CharactersWithSpaces>855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2023-11-27T11:57:00Z</dcterms:created>
  <dc:creator>祥子</dc:creator>
  <cp:lastModifiedBy>Lenovo</cp:lastModifiedBy>
  <cp:lastPrinted>2023-11-29T04:38:00Z</cp:lastPrinted>
  <dcterms:modified xsi:type="dcterms:W3CDTF">2023-12-08T01:35:58Z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9FAFBA2632D0486CB1D7E8F381EB83DB_13</vt:lpwstr>
  </property>
</Properties>
</file>